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D62C9">
      <w:pPr>
        <w:keepNext w:val="0"/>
        <w:keepLines w:val="0"/>
        <w:pageBreakBefore w:val="0"/>
        <w:widowControl w:val="0"/>
        <w:kinsoku/>
        <w:wordWrap/>
        <w:overflowPunct/>
        <w:topLinePunct w:val="0"/>
        <w:autoSpaceDE/>
        <w:autoSpaceDN/>
        <w:bidi w:val="0"/>
        <w:adjustRightInd/>
        <w:snapToGrid/>
        <w:spacing w:before="0" w:beforeLines="0" w:after="0" w:afterLines="0" w:line="586" w:lineRule="exact"/>
        <w:ind w:left="0" w:leftChars="0" w:right="0" w:rightChars="0" w:firstLine="0" w:firstLineChars="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附件3</w:t>
      </w:r>
    </w:p>
    <w:p w14:paraId="2C3A11E2">
      <w:pPr>
        <w:keepNext w:val="0"/>
        <w:keepLines w:val="0"/>
        <w:pageBreakBefore w:val="0"/>
        <w:widowControl w:val="0"/>
        <w:kinsoku/>
        <w:wordWrap/>
        <w:overflowPunct/>
        <w:topLinePunct w:val="0"/>
        <w:autoSpaceDE/>
        <w:autoSpaceDN/>
        <w:bidi w:val="0"/>
        <w:adjustRightInd/>
        <w:snapToGrid/>
        <w:spacing w:before="0" w:beforeLines="0" w:after="0" w:afterLines="0" w:line="586" w:lineRule="exact"/>
        <w:ind w:left="0" w:leftChars="0" w:right="0" w:rightChars="0" w:firstLine="0" w:firstLineChars="0"/>
        <w:jc w:val="left"/>
        <w:textAlignment w:val="auto"/>
        <w:rPr>
          <w:rFonts w:hint="default" w:ascii="黑体" w:hAnsi="黑体" w:eastAsia="黑体" w:cs="黑体"/>
          <w:b w:val="0"/>
          <w:bCs w:val="0"/>
          <w:color w:val="000000" w:themeColor="text1"/>
          <w:sz w:val="32"/>
          <w:szCs w:val="32"/>
          <w:lang w:val="en-US" w:eastAsia="zh-CN"/>
          <w14:textFill>
            <w14:solidFill>
              <w14:schemeClr w14:val="tx1"/>
            </w14:solidFill>
          </w14:textFill>
        </w:rPr>
      </w:pPr>
    </w:p>
    <w:p w14:paraId="639E2BE2">
      <w:pPr>
        <w:keepNext w:val="0"/>
        <w:keepLines w:val="0"/>
        <w:pageBreakBefore w:val="0"/>
        <w:kinsoku/>
        <w:wordWrap/>
        <w:overflowPunct/>
        <w:topLinePunct w:val="0"/>
        <w:autoSpaceDE/>
        <w:autoSpaceDN/>
        <w:bidi w:val="0"/>
        <w:adjustRightInd/>
        <w:snapToGrid/>
        <w:spacing w:before="0" w:beforeLines="0" w:after="0" w:afterLines="0" w:line="586" w:lineRule="exact"/>
        <w:ind w:left="0" w:leftChars="0" w:right="0" w:rightChars="0" w:firstLine="0" w:firstLineChars="0"/>
        <w:jc w:val="center"/>
        <w:textAlignment w:val="auto"/>
        <w:rPr>
          <w:rFonts w:hint="eastAsia" w:ascii="方正公文小标宋" w:hAnsi="方正公文小标宋" w:eastAsia="方正公文小标宋" w:cs="方正公文小标宋"/>
          <w:b/>
          <w:bCs/>
          <w:color w:val="000000" w:themeColor="text1"/>
          <w:sz w:val="44"/>
          <w:szCs w:val="44"/>
          <w:lang w:val="en-US"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lang w:val="en-US" w:eastAsia="zh-CN"/>
          <w14:textFill>
            <w14:solidFill>
              <w14:schemeClr w14:val="tx1"/>
            </w14:solidFill>
          </w14:textFill>
        </w:rPr>
        <w:t>2024年度教学单位</w:t>
      </w:r>
      <w:r>
        <w:rPr>
          <w:rFonts w:hint="eastAsia" w:ascii="方正公文小标宋" w:hAnsi="方正公文小标宋" w:eastAsia="方正公文小标宋" w:cs="方正公文小标宋"/>
          <w:b w:val="0"/>
          <w:bCs w:val="0"/>
          <w:color w:val="000000" w:themeColor="text1"/>
          <w:sz w:val="44"/>
          <w:szCs w:val="44"/>
          <w14:textFill>
            <w14:solidFill>
              <w14:schemeClr w14:val="tx1"/>
            </w14:solidFill>
          </w14:textFill>
        </w:rPr>
        <w:t>国有资产管理考核工作</w:t>
      </w:r>
      <w:r>
        <w:rPr>
          <w:rFonts w:hint="eastAsia" w:ascii="方正公文小标宋" w:hAnsi="方正公文小标宋" w:eastAsia="方正公文小标宋" w:cs="方正公文小标宋"/>
          <w:b w:val="0"/>
          <w:bCs w:val="0"/>
          <w:color w:val="000000" w:themeColor="text1"/>
          <w:sz w:val="44"/>
          <w:szCs w:val="44"/>
          <w:lang w:val="en-US" w:eastAsia="zh-CN"/>
          <w14:textFill>
            <w14:solidFill>
              <w14:schemeClr w14:val="tx1"/>
            </w14:solidFill>
          </w14:textFill>
        </w:rPr>
        <w:t>提交材料清单</w:t>
      </w:r>
    </w:p>
    <w:sdt>
      <w:sdtPr>
        <w:rPr>
          <w:rFonts w:hint="eastAsia" w:ascii="黑体" w:hAnsi="黑体" w:eastAsia="黑体" w:cs="黑体"/>
          <w:kern w:val="2"/>
          <w:sz w:val="44"/>
          <w:szCs w:val="44"/>
          <w:lang w:val="en-US" w:eastAsia="zh-CN" w:bidi="ar-SA"/>
        </w:rPr>
        <w:id w:val="147451541"/>
        <w15:color w:val="DBDBDB"/>
        <w:docPartObj>
          <w:docPartGallery w:val="Table of Contents"/>
          <w:docPartUnique/>
        </w:docPartObj>
      </w:sdtPr>
      <w:sdtEndPr>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sdtEndPr>
      <w:sdtContent>
        <w:p w14:paraId="050A82DF">
          <w:pPr>
            <w:keepNext w:val="0"/>
            <w:keepLines w:val="0"/>
            <w:pageBreakBefore w:val="0"/>
            <w:kinsoku/>
            <w:wordWrap/>
            <w:overflowPunct/>
            <w:topLinePunct w:val="0"/>
            <w:autoSpaceDE/>
            <w:autoSpaceDN/>
            <w:bidi w:val="0"/>
            <w:adjustRightInd/>
            <w:snapToGrid/>
            <w:spacing w:before="0" w:beforeLines="0" w:after="0" w:afterLines="0" w:line="586" w:lineRule="exact"/>
            <w:ind w:left="0" w:leftChars="0" w:right="0" w:rightChars="0" w:firstLine="0" w:firstLineChars="0"/>
            <w:jc w:val="center"/>
            <w:textAlignment w:val="auto"/>
            <w:rPr>
              <w:rFonts w:ascii="宋体" w:hAnsi="宋体" w:eastAsia="宋体"/>
              <w:sz w:val="21"/>
            </w:rPr>
          </w:pPr>
        </w:p>
        <w:p w14:paraId="51A88410">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600" w:firstLineChars="200"/>
            <w:textAlignment w:val="auto"/>
            <w:rPr>
              <w:sz w:val="28"/>
              <w:szCs w:val="28"/>
            </w:rPr>
          </w:pPr>
          <w:r>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fldChar w:fldCharType="begin"/>
          </w:r>
          <w:r>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instrText xml:space="preserve">TOC \o "1-1" \h \u </w:instrText>
          </w:r>
          <w:r>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fldChar w:fldCharType="separate"/>
          </w:r>
          <w:r>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fldChar w:fldCharType="begin"/>
          </w:r>
          <w:r>
            <w:rPr>
              <w:rFonts w:hint="default" w:ascii="仿宋_GB2312" w:hAnsi="仿宋_GB2312" w:eastAsia="仿宋_GB2312" w:cs="仿宋_GB2312"/>
              <w:kern w:val="2"/>
              <w:sz w:val="28"/>
              <w:szCs w:val="28"/>
              <w:lang w:val="en-US" w:eastAsia="zh-CN" w:bidi="ar-SA"/>
            </w:rPr>
            <w:instrText xml:space="preserve"> HYPERLINK \l _Toc27342 </w:instrText>
          </w:r>
          <w:r>
            <w:rPr>
              <w:rFonts w:hint="default"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sz w:val="28"/>
              <w:szCs w:val="28"/>
              <w:lang w:val="en-US" w:eastAsia="zh-CN"/>
            </w:rPr>
            <w:t>一、1.1.1教学单位资产管理落实使用及归口管理责任相关文件</w:t>
          </w:r>
          <w:r>
            <w:rPr>
              <w:sz w:val="28"/>
              <w:szCs w:val="28"/>
            </w:rPr>
            <w:tab/>
          </w:r>
          <w:r>
            <w:rPr>
              <w:sz w:val="28"/>
              <w:szCs w:val="28"/>
            </w:rPr>
            <w:tab/>
          </w:r>
          <w:r>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fldChar w:fldCharType="end"/>
          </w:r>
        </w:p>
        <w:p w14:paraId="13466A1B">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fldChar w:fldCharType="begin"/>
          </w:r>
          <w:r>
            <w:rPr>
              <w:rFonts w:hint="default" w:ascii="仿宋_GB2312" w:hAnsi="仿宋_GB2312" w:eastAsia="仿宋_GB2312" w:cs="仿宋_GB2312"/>
              <w:kern w:val="2"/>
              <w:sz w:val="28"/>
              <w:szCs w:val="28"/>
              <w:lang w:val="en-US" w:eastAsia="zh-CN" w:bidi="ar-SA"/>
            </w:rPr>
            <w:instrText xml:space="preserve"> HYPERLINK \l _Toc22153 </w:instrText>
          </w:r>
          <w:r>
            <w:rPr>
              <w:rFonts w:hint="default"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二、1.1.1教学单位资产管理年度计划及执行情况材料</w:t>
          </w:r>
          <w:r>
            <w:rPr>
              <w:sz w:val="28"/>
              <w:szCs w:val="28"/>
            </w:rPr>
            <w:tab/>
          </w:r>
          <w:r>
            <w:rPr>
              <w:sz w:val="28"/>
              <w:szCs w:val="28"/>
            </w:rPr>
            <w:tab/>
          </w:r>
          <w:r>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fldChar w:fldCharType="end"/>
          </w:r>
        </w:p>
        <w:p w14:paraId="6A599715">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宋体"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三、1.1.1教学单位资产管理工作分管领导及职责相关文件</w:t>
          </w:r>
          <w:r>
            <w:rPr>
              <w:sz w:val="28"/>
              <w:szCs w:val="28"/>
            </w:rPr>
            <w:tab/>
          </w:r>
        </w:p>
        <w:p w14:paraId="76AF7913">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四、1.1.1教学单位资产使用人管理职责相关文件</w:t>
          </w:r>
          <w:r>
            <w:rPr>
              <w:sz w:val="28"/>
              <w:szCs w:val="28"/>
            </w:rPr>
            <w:tab/>
          </w:r>
        </w:p>
        <w:p w14:paraId="13DF2274">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五、1.1.2教学单位资产管理员岗位设置、人员配备及责任划分相关文件</w:t>
          </w:r>
          <w:r>
            <w:rPr>
              <w:sz w:val="28"/>
              <w:szCs w:val="28"/>
            </w:rPr>
            <w:tab/>
          </w:r>
        </w:p>
        <w:p w14:paraId="6693A538">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六、1.2.1教学单位国有资产管理工作内控制度相关文件</w:t>
          </w:r>
          <w:r>
            <w:rPr>
              <w:sz w:val="28"/>
              <w:szCs w:val="28"/>
            </w:rPr>
            <w:tab/>
          </w:r>
        </w:p>
        <w:p w14:paraId="4B1294C7">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七、1.2.2教学单位国有资产管理或涉及国有资产“三重一大”事项集体讨论和决策过程相关支撑材料</w:t>
          </w:r>
          <w:r>
            <w:rPr>
              <w:sz w:val="28"/>
              <w:szCs w:val="28"/>
            </w:rPr>
            <w:tab/>
          </w:r>
        </w:p>
        <w:p w14:paraId="57505C9A">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sz w:val="28"/>
              <w:szCs w:val="28"/>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八、1.2.3教学单位领导班子集体讨论学校国有资产管理相关政策或学院层面会议传达、解读国有资产管理的各类规章制度或讨论资产管理有关重大事项相关支撑材料</w:t>
          </w:r>
          <w:r>
            <w:rPr>
              <w:sz w:val="28"/>
              <w:szCs w:val="28"/>
            </w:rPr>
            <w:tab/>
          </w:r>
        </w:p>
        <w:p w14:paraId="455817A5">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九、2.1.1</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教学单位</w:t>
          </w:r>
          <w:r>
            <w:rPr>
              <w:rFonts w:hint="eastAsia" w:ascii="仿宋_GB2312" w:hAnsi="仿宋_GB2312" w:eastAsia="仿宋_GB2312" w:cs="仿宋_GB2312"/>
              <w:sz w:val="28"/>
              <w:szCs w:val="28"/>
              <w:lang w:val="en-US" w:eastAsia="zh-CN"/>
            </w:rPr>
            <w:t>2024年货物服务采购明细表材料</w:t>
          </w:r>
          <w:r>
            <w:rPr>
              <w:sz w:val="28"/>
              <w:szCs w:val="28"/>
            </w:rPr>
            <w:tab/>
          </w:r>
          <w:bookmarkStart w:id="0" w:name="_GoBack"/>
          <w:bookmarkEnd w:id="0"/>
        </w:p>
        <w:p w14:paraId="5095B4B1">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sz w:val="28"/>
              <w:szCs w:val="28"/>
            </w:rPr>
          </w:pPr>
          <w:r>
            <w:rPr>
              <w:rFonts w:hint="eastAsia" w:ascii="仿宋_GB2312" w:hAnsi="仿宋_GB2312" w:eastAsia="仿宋_GB2312" w:cs="仿宋_GB2312"/>
              <w:sz w:val="28"/>
              <w:szCs w:val="28"/>
              <w:lang w:val="en-US" w:eastAsia="zh-CN"/>
            </w:rPr>
            <w:t>十、2.2.1</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教学单位</w:t>
          </w:r>
          <w:r>
            <w:rPr>
              <w:rFonts w:hint="eastAsia" w:ascii="仿宋_GB2312" w:hAnsi="仿宋_GB2312" w:eastAsia="仿宋_GB2312" w:cs="仿宋_GB2312"/>
              <w:sz w:val="28"/>
              <w:szCs w:val="28"/>
              <w:lang w:val="en-US" w:eastAsia="zh-CN"/>
            </w:rPr>
            <w:t>针对资产清查盘盈、盘亏情况谈话记录</w:t>
          </w:r>
          <w:r>
            <w:rPr>
              <w:sz w:val="28"/>
              <w:szCs w:val="28"/>
            </w:rPr>
            <w:tab/>
          </w:r>
        </w:p>
        <w:p w14:paraId="27FB3595">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sz w:val="28"/>
              <w:szCs w:val="28"/>
            </w:rPr>
          </w:pPr>
          <w:r>
            <w:rPr>
              <w:rFonts w:hint="eastAsia" w:ascii="仿宋_GB2312" w:hAnsi="仿宋_GB2312" w:eastAsia="仿宋_GB2312" w:cs="仿宋_GB2312"/>
              <w:sz w:val="28"/>
              <w:szCs w:val="28"/>
              <w:lang w:val="en-US" w:eastAsia="zh-CN"/>
            </w:rPr>
            <w:t>十一、2.2.1</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教学单位</w:t>
          </w:r>
          <w:r>
            <w:rPr>
              <w:rFonts w:hint="eastAsia" w:ascii="仿宋_GB2312" w:hAnsi="仿宋_GB2312" w:eastAsia="仿宋_GB2312" w:cs="仿宋_GB2312"/>
              <w:sz w:val="28"/>
              <w:szCs w:val="28"/>
              <w:lang w:val="en-US" w:eastAsia="zh-CN"/>
            </w:rPr>
            <w:t>闲置资产调拨或调剂相关支撑材料</w:t>
          </w:r>
          <w:r>
            <w:rPr>
              <w:sz w:val="28"/>
              <w:szCs w:val="28"/>
            </w:rPr>
            <w:tab/>
          </w:r>
        </w:p>
        <w:p w14:paraId="2B6203F3">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十二、3.1.1</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教学单位</w:t>
          </w:r>
          <w:r>
            <w:rPr>
              <w:rFonts w:hint="eastAsia" w:ascii="仿宋_GB2312" w:hAnsi="仿宋_GB2312" w:eastAsia="仿宋_GB2312" w:cs="仿宋_GB2312"/>
              <w:sz w:val="28"/>
              <w:szCs w:val="28"/>
              <w:lang w:val="en-US" w:eastAsia="zh-CN"/>
            </w:rPr>
            <w:t>公用房使用动态调整机制相关规定文件</w:t>
          </w:r>
          <w:r>
            <w:rPr>
              <w:sz w:val="28"/>
              <w:szCs w:val="28"/>
            </w:rPr>
            <w:tab/>
          </w:r>
        </w:p>
        <w:p w14:paraId="3114FDB2">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十三、4.2.3教学单位自行采购内控制度相关规定文件</w:t>
          </w:r>
          <w:r>
            <w:rPr>
              <w:sz w:val="28"/>
              <w:szCs w:val="28"/>
            </w:rPr>
            <w:tab/>
          </w:r>
        </w:p>
        <w:p w14:paraId="3C358ACA">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十四、5.1.2教学单位专兼职大仪管理人员配置情况相关文件</w:t>
          </w:r>
          <w:r>
            <w:rPr>
              <w:sz w:val="28"/>
              <w:szCs w:val="28"/>
            </w:rPr>
            <w:tab/>
          </w:r>
        </w:p>
        <w:p w14:paraId="21E967F5">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十五、5.1.3教学单位制定的大仪开放共享收费标准相关管理文件</w:t>
          </w:r>
          <w:r>
            <w:rPr>
              <w:sz w:val="28"/>
              <w:szCs w:val="28"/>
            </w:rPr>
            <w:tab/>
          </w:r>
        </w:p>
        <w:p w14:paraId="1FB8B828">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十六、5.2.3教学单位大仪2024年度年对校内外开放共享服务收入财务凭证记录</w:t>
          </w:r>
          <w:r>
            <w:rPr>
              <w:sz w:val="28"/>
              <w:szCs w:val="28"/>
            </w:rPr>
            <w:tab/>
          </w:r>
        </w:p>
        <w:p w14:paraId="6ADF8330">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十七、8.1.1教学单位对2023年度国有资产管理年度考核中存在的重要问题及2024度年国有资产管理工作中存在问题情况的整改报告</w:t>
          </w:r>
          <w:r>
            <w:rPr>
              <w:sz w:val="28"/>
              <w:szCs w:val="28"/>
            </w:rPr>
            <w:tab/>
          </w:r>
        </w:p>
        <w:p w14:paraId="1C694186">
          <w:pPr>
            <w:pStyle w:val="4"/>
            <w:keepNext w:val="0"/>
            <w:keepLines w:val="0"/>
            <w:pageBreakBefore w:val="0"/>
            <w:tabs>
              <w:tab w:val="right" w:leader="dot" w:pos="8306"/>
            </w:tabs>
            <w:kinsoku/>
            <w:wordWrap/>
            <w:overflowPunct/>
            <w:topLinePunct w:val="0"/>
            <w:autoSpaceDE/>
            <w:autoSpaceDN/>
            <w:bidi w:val="0"/>
            <w:adjustRightInd/>
            <w:snapToGrid/>
            <w:spacing w:line="586" w:lineRule="exact"/>
            <w:ind w:firstLine="560" w:firstLineChars="200"/>
            <w:textAlignment w:val="auto"/>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十八、8.1.2教学单位在国有资产管理工作中解决重点、难点问题的典型案例报告</w:t>
          </w:r>
          <w:r>
            <w:rPr>
              <w:sz w:val="28"/>
              <w:szCs w:val="28"/>
            </w:rPr>
            <w:tab/>
          </w:r>
        </w:p>
        <w:p w14:paraId="34826478">
          <w:pPr>
            <w:keepNext w:val="0"/>
            <w:keepLines w:val="0"/>
            <w:pageBreakBefore w:val="0"/>
            <w:kinsoku/>
            <w:wordWrap/>
            <w:overflowPunct/>
            <w:topLinePunct w:val="0"/>
            <w:autoSpaceDE/>
            <w:autoSpaceDN/>
            <w:bidi w:val="0"/>
            <w:adjustRightInd/>
            <w:snapToGrid/>
            <w:spacing w:line="586" w:lineRule="exact"/>
            <w:ind w:firstLine="600" w:firstLineChars="200"/>
            <w:textAlignment w:val="auto"/>
            <w:outlineLvl w:val="0"/>
            <w:rPr>
              <w:rFonts w:hint="default" w:ascii="仿宋_GB2312" w:hAnsi="仿宋_GB2312" w:eastAsia="仿宋_GB2312" w:cs="仿宋_GB2312"/>
              <w:color w:val="000000" w:themeColor="text1"/>
              <w:kern w:val="2"/>
              <w:sz w:val="21"/>
              <w:szCs w:val="32"/>
              <w:lang w:val="en-US" w:eastAsia="zh-CN" w:bidi="ar-SA"/>
              <w14:textFill>
                <w14:solidFill>
                  <w14:schemeClr w14:val="tx1"/>
                </w14:solidFill>
              </w14:textFill>
            </w:rPr>
          </w:pPr>
          <w:r>
            <w:rPr>
              <w:rFonts w:hint="default" w:ascii="仿宋_GB2312" w:hAnsi="仿宋_GB2312" w:eastAsia="仿宋_GB2312" w:cs="仿宋_GB2312"/>
              <w:color w:val="000000" w:themeColor="text1"/>
              <w:kern w:val="2"/>
              <w:sz w:val="30"/>
              <w:szCs w:val="30"/>
              <w:lang w:val="en-US" w:eastAsia="zh-CN" w:bidi="ar-SA"/>
              <w14:textFill>
                <w14:solidFill>
                  <w14:schemeClr w14:val="tx1"/>
                </w14:solidFill>
              </w14:textFill>
            </w:rPr>
            <w:fldChar w:fldCharType="end"/>
          </w:r>
        </w:p>
      </w:sdtContent>
    </w:sdt>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B7BFAE-DE56-4890-A54B-4D4EFC614A1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1D4CC9-07D2-4F8C-994F-4C1340C93CD6}"/>
  </w:font>
  <w:font w:name="方正公文小标宋">
    <w:panose1 w:val="02000500000000000000"/>
    <w:charset w:val="86"/>
    <w:family w:val="auto"/>
    <w:pitch w:val="default"/>
    <w:sig w:usb0="A00002BF" w:usb1="38CF7CFA" w:usb2="00000016" w:usb3="00000000" w:csb0="00040001" w:csb1="00000000"/>
    <w:embedRegular r:id="rId3" w:fontKey="{A7D9D338-7C94-42D8-923D-78B6A835DFF2}"/>
  </w:font>
  <w:font w:name="仿宋_GB2312">
    <w:panose1 w:val="02010609030101010101"/>
    <w:charset w:val="86"/>
    <w:family w:val="auto"/>
    <w:pitch w:val="default"/>
    <w:sig w:usb0="00000001" w:usb1="080E0000" w:usb2="00000000" w:usb3="00000000" w:csb0="00040000" w:csb1="00000000"/>
    <w:embedRegular r:id="rId4" w:fontKey="{BE18CB62-3CF1-4A6D-A7C5-6A86D65B4F3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2MGRmYzZkYzI3M2UwYjVhNDNmODgwOTExNjdlMzkifQ=="/>
  </w:docVars>
  <w:rsids>
    <w:rsidRoot w:val="71416D31"/>
    <w:rsid w:val="3AB56DED"/>
    <w:rsid w:val="41175B2C"/>
    <w:rsid w:val="49046EDA"/>
    <w:rsid w:val="52F518A3"/>
    <w:rsid w:val="5B0E71CA"/>
    <w:rsid w:val="5CA85A23"/>
    <w:rsid w:val="5CDF354A"/>
    <w:rsid w:val="7054786A"/>
    <w:rsid w:val="71416D31"/>
    <w:rsid w:val="75A46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573</Words>
  <Characters>660</Characters>
  <Lines>0</Lines>
  <Paragraphs>0</Paragraphs>
  <TotalTime>81</TotalTime>
  <ScaleCrop>false</ScaleCrop>
  <LinksUpToDate>false</LinksUpToDate>
  <CharactersWithSpaces>720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2024-12-02T01:41:00Z</dcterms:created>
  <dc:creator>WPS_1615862737</dc:creator>
  <cp:lastModifiedBy>WPS_1615862737</cp:lastModifiedBy>
  <cp:lastPrinted>2024-12-09T01:12:00Z</cp:lastPrinted>
  <dcterms:modified xsi:type="dcterms:W3CDTF">2024-12-09T07:54:15Z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B3A393E21DB24D039AD0A090603C2FF3_13</vt:lpwstr>
  </property>
</Properties>
</file>